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0B53" w14:textId="04E04BB8" w:rsidR="00134672" w:rsidRDefault="00157394" w:rsidP="002F4DA3">
      <w:pPr>
        <w:pStyle w:val="Geenafstand"/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7ADF9D64" wp14:editId="5B02B987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625600" cy="46736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VC-logo-rgbg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7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822B3" w14:textId="7F8C147F" w:rsidR="00134672" w:rsidRPr="00134672" w:rsidRDefault="00157394" w:rsidP="002F4DA3">
      <w:pPr>
        <w:pStyle w:val="Geenafstand"/>
        <w:rPr>
          <w:u w:val="single"/>
        </w:rPr>
      </w:pPr>
      <w:r>
        <w:rPr>
          <w:u w:val="single"/>
        </w:rPr>
        <w:t xml:space="preserve">VOORBEELD: </w:t>
      </w:r>
      <w:r w:rsidR="00134672" w:rsidRPr="00134672">
        <w:rPr>
          <w:u w:val="single"/>
        </w:rPr>
        <w:t>Hinderanalyse</w:t>
      </w:r>
      <w:r w:rsidR="00134672">
        <w:rPr>
          <w:u w:val="single"/>
        </w:rPr>
        <w:t xml:space="preserve"> Beheer Openbare Ruimte en Hinder Omgeving</w:t>
      </w:r>
      <w:r w:rsidR="00134672" w:rsidRPr="00134672">
        <w:rPr>
          <w:u w:val="single"/>
        </w:rPr>
        <w:t xml:space="preserve"> </w:t>
      </w:r>
    </w:p>
    <w:p w14:paraId="129446BD" w14:textId="77777777" w:rsidR="00157394" w:rsidRDefault="002F4DA3" w:rsidP="002F4DA3">
      <w:pPr>
        <w:pStyle w:val="Geenafstand"/>
      </w:pPr>
      <w:r>
        <w:t xml:space="preserve">De hinderknelpunten </w:t>
      </w:r>
      <w:r w:rsidR="00134672">
        <w:t>worden in</w:t>
      </w:r>
      <w:bookmarkStart w:id="0" w:name="_GoBack"/>
      <w:bookmarkEnd w:id="0"/>
      <w:r w:rsidR="00134672">
        <w:t xml:space="preserve"> kaart gebracht door </w:t>
      </w:r>
      <w:r>
        <w:t xml:space="preserve">de werkzaamheden te bezien in relatie tot bestaande en toekomstige functionaliteiten, belangen en eisen/verwachtingen van stakeholders en omgevingsprojecten en evenementen. </w:t>
      </w:r>
      <w:r w:rsidR="00134672">
        <w:t xml:space="preserve">Het resultaat is een </w:t>
      </w:r>
      <w:r>
        <w:t xml:space="preserve">hinderinventarisatie. </w:t>
      </w:r>
    </w:p>
    <w:p w14:paraId="58DF09E9" w14:textId="77777777" w:rsidR="00157394" w:rsidRDefault="00157394" w:rsidP="002F4DA3">
      <w:pPr>
        <w:pStyle w:val="Geenafstand"/>
      </w:pPr>
    </w:p>
    <w:p w14:paraId="154E0441" w14:textId="415B38B3" w:rsidR="002F4DA3" w:rsidRDefault="00157394" w:rsidP="00157394">
      <w:pPr>
        <w:pStyle w:val="Geenafstand"/>
      </w:pPr>
      <w:r>
        <w:t xml:space="preserve">Deze levert, in het geval van dit voorbeeld, </w:t>
      </w:r>
      <w:r w:rsidR="002F4DA3">
        <w:t xml:space="preserve">inzicht in (mogelijke) knelpunten ten aanzien van een veilige openbare ruimte (in de rol als beheerder), bereikbaarheid van bouwplaatsen en de te verwachten hinder (BLVC) voor de directe projectomgeving. </w:t>
      </w:r>
    </w:p>
    <w:p w14:paraId="6D05E0D1" w14:textId="77777777" w:rsidR="002F4DA3" w:rsidRDefault="002F4DA3" w:rsidP="002F4DA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"/>
        <w:gridCol w:w="1564"/>
        <w:gridCol w:w="2978"/>
        <w:gridCol w:w="1622"/>
        <w:gridCol w:w="2445"/>
      </w:tblGrid>
      <w:tr w:rsidR="002F4DA3" w:rsidRPr="000E72D9" w14:paraId="3C3EB15D" w14:textId="77777777" w:rsidTr="00500F2E">
        <w:tc>
          <w:tcPr>
            <w:tcW w:w="9056" w:type="dxa"/>
            <w:gridSpan w:val="5"/>
            <w:shd w:val="clear" w:color="auto" w:fill="BFBFBF" w:themeFill="background1" w:themeFillShade="BF"/>
          </w:tcPr>
          <w:p w14:paraId="158E9C67" w14:textId="77777777" w:rsidR="002F4DA3" w:rsidRPr="00F8574D" w:rsidRDefault="002F4DA3" w:rsidP="00500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Beheer Openbare Ruimte (Route bouwverkeer </w:t>
            </w:r>
            <w:r w:rsidRPr="00F8574D"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z w:val="20"/>
                <w:szCs w:val="20"/>
              </w:rPr>
              <w:t>tijdelijk beheer</w:t>
            </w:r>
            <w:r w:rsidRPr="00F8574D">
              <w:rPr>
                <w:b/>
                <w:sz w:val="20"/>
                <w:szCs w:val="20"/>
              </w:rPr>
              <w:t>)</w:t>
            </w:r>
          </w:p>
          <w:p w14:paraId="1B12D33E" w14:textId="77777777" w:rsidR="002F4DA3" w:rsidRPr="000E72D9" w:rsidRDefault="002F4DA3" w:rsidP="00500F2E">
            <w:pPr>
              <w:rPr>
                <w:sz w:val="20"/>
                <w:szCs w:val="20"/>
              </w:rPr>
            </w:pPr>
          </w:p>
        </w:tc>
      </w:tr>
      <w:tr w:rsidR="002F4DA3" w:rsidRPr="00FC5048" w14:paraId="0160FEBC" w14:textId="77777777" w:rsidTr="00500F2E">
        <w:tc>
          <w:tcPr>
            <w:tcW w:w="447" w:type="dxa"/>
            <w:shd w:val="clear" w:color="auto" w:fill="BFBFBF" w:themeFill="background1" w:themeFillShade="BF"/>
          </w:tcPr>
          <w:p w14:paraId="4C270D55" w14:textId="77777777" w:rsidR="002F4DA3" w:rsidRPr="00FC5048" w:rsidRDefault="002F4DA3" w:rsidP="00500F2E">
            <w:pPr>
              <w:rPr>
                <w:b/>
                <w:sz w:val="20"/>
                <w:szCs w:val="20"/>
              </w:rPr>
            </w:pPr>
            <w:proofErr w:type="spellStart"/>
            <w:r w:rsidRPr="00FC504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564" w:type="dxa"/>
            <w:shd w:val="clear" w:color="auto" w:fill="BFBFBF" w:themeFill="background1" w:themeFillShade="BF"/>
          </w:tcPr>
          <w:p w14:paraId="113759D6" w14:textId="77777777" w:rsidR="002F4DA3" w:rsidRPr="00FC5048" w:rsidRDefault="002F4DA3" w:rsidP="00500F2E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Ongewenste gebeurtenis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14:paraId="137E260F" w14:textId="77777777" w:rsidR="002F4DA3" w:rsidRPr="00FC5048" w:rsidRDefault="002F4DA3" w:rsidP="00500F2E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Oorzaak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14:paraId="6986D394" w14:textId="77777777" w:rsidR="002F4DA3" w:rsidRPr="00FC5048" w:rsidRDefault="002F4DA3" w:rsidP="00500F2E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Gevolg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746FD591" w14:textId="77777777" w:rsidR="002F4DA3" w:rsidRPr="00FC5048" w:rsidRDefault="002F4DA3" w:rsidP="00500F2E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Beheersing door:</w:t>
            </w:r>
          </w:p>
        </w:tc>
      </w:tr>
      <w:tr w:rsidR="002F4DA3" w:rsidRPr="00A75707" w14:paraId="1BC5C70B" w14:textId="77777777" w:rsidTr="00500F2E">
        <w:tc>
          <w:tcPr>
            <w:tcW w:w="447" w:type="dxa"/>
          </w:tcPr>
          <w:p w14:paraId="01192ADF" w14:textId="6392F8E6" w:rsidR="002F4DA3" w:rsidRPr="00A75707" w:rsidRDefault="00157394" w:rsidP="00500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4" w:type="dxa"/>
          </w:tcPr>
          <w:p w14:paraId="3D8E65CF" w14:textId="77777777" w:rsidR="002F4DA3" w:rsidRPr="00A75707" w:rsidRDefault="002F4DA3" w:rsidP="00500F2E">
            <w:pPr>
              <w:rPr>
                <w:sz w:val="16"/>
                <w:szCs w:val="16"/>
              </w:rPr>
            </w:pPr>
            <w:r w:rsidRPr="00A75707">
              <w:rPr>
                <w:sz w:val="16"/>
                <w:szCs w:val="16"/>
              </w:rPr>
              <w:t>Hulpdiensten komen te laat</w:t>
            </w:r>
          </w:p>
        </w:tc>
        <w:tc>
          <w:tcPr>
            <w:tcW w:w="2978" w:type="dxa"/>
          </w:tcPr>
          <w:p w14:paraId="1AE48F67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Obstakels op de </w:t>
            </w:r>
            <w:proofErr w:type="spellStart"/>
            <w:r w:rsidRPr="00A75707">
              <w:rPr>
                <w:rFonts w:asciiTheme="minorHAnsi" w:hAnsiTheme="minorHAnsi"/>
                <w:sz w:val="16"/>
                <w:szCs w:val="16"/>
              </w:rPr>
              <w:t>bouwweg</w:t>
            </w:r>
            <w:proofErr w:type="spellEnd"/>
          </w:p>
          <w:p w14:paraId="4D5E1B70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Bereikbaarheid gebied, navigatie en afspraken onvoldoende bekend bij nood- en hulpdiensten </w:t>
            </w:r>
          </w:p>
        </w:tc>
        <w:tc>
          <w:tcPr>
            <w:tcW w:w="1622" w:type="dxa"/>
          </w:tcPr>
          <w:p w14:paraId="2E4F7A4B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Incident /</w:t>
            </w:r>
            <w:r w:rsidRPr="00A75707">
              <w:rPr>
                <w:rFonts w:asciiTheme="minorHAnsi" w:hAnsiTheme="minorHAnsi"/>
                <w:sz w:val="16"/>
                <w:szCs w:val="16"/>
              </w:rPr>
              <w:t xml:space="preserve"> calamiteit </w:t>
            </w:r>
            <w:r>
              <w:rPr>
                <w:rFonts w:asciiTheme="minorHAnsi" w:hAnsiTheme="minorHAnsi"/>
                <w:sz w:val="16"/>
                <w:szCs w:val="16"/>
              </w:rPr>
              <w:t>met dodelijk slachtoffer</w:t>
            </w:r>
          </w:p>
        </w:tc>
        <w:tc>
          <w:tcPr>
            <w:tcW w:w="2445" w:type="dxa"/>
          </w:tcPr>
          <w:p w14:paraId="3A136A96" w14:textId="4D448840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Plan </w:t>
            </w:r>
            <w:r w:rsidR="00157394">
              <w:rPr>
                <w:rFonts w:asciiTheme="minorHAnsi" w:hAnsiTheme="minorHAnsi"/>
                <w:sz w:val="16"/>
                <w:szCs w:val="16"/>
              </w:rPr>
              <w:t xml:space="preserve">over </w:t>
            </w:r>
            <w:r w:rsidRPr="00A75707">
              <w:rPr>
                <w:rFonts w:asciiTheme="minorHAnsi" w:hAnsiTheme="minorHAnsi"/>
                <w:sz w:val="16"/>
                <w:szCs w:val="16"/>
              </w:rPr>
              <w:t>Bouwlogistiek en BLVC</w:t>
            </w:r>
            <w:r w:rsidR="00157394">
              <w:rPr>
                <w:rFonts w:asciiTheme="minorHAnsi" w:hAnsiTheme="minorHAnsi"/>
                <w:sz w:val="16"/>
                <w:szCs w:val="16"/>
              </w:rPr>
              <w:t xml:space="preserve"> waarin de werkwijze uiteengezet wordt, en onderling afgestemd</w:t>
            </w:r>
          </w:p>
          <w:p w14:paraId="15ECC015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Calamiteitenplan</w:t>
            </w:r>
          </w:p>
          <w:p w14:paraId="369192F6" w14:textId="77777777" w:rsidR="002F4DA3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Minimale </w:t>
            </w:r>
            <w:r w:rsidR="007D3D34">
              <w:rPr>
                <w:rFonts w:asciiTheme="minorHAnsi" w:hAnsiTheme="minorHAnsi"/>
                <w:sz w:val="16"/>
                <w:szCs w:val="16"/>
              </w:rPr>
              <w:t xml:space="preserve">set </w:t>
            </w:r>
            <w:r w:rsidRPr="00A75707">
              <w:rPr>
                <w:rFonts w:asciiTheme="minorHAnsi" w:hAnsiTheme="minorHAnsi"/>
                <w:sz w:val="16"/>
                <w:szCs w:val="16"/>
              </w:rPr>
              <w:t>BLVC-eisen</w:t>
            </w:r>
          </w:p>
          <w:p w14:paraId="09BFBD17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Handhaving BLVC-eisen</w:t>
            </w:r>
          </w:p>
        </w:tc>
      </w:tr>
      <w:tr w:rsidR="002F4DA3" w:rsidRPr="00A75707" w14:paraId="2D3292CA" w14:textId="77777777" w:rsidTr="00500F2E">
        <w:tc>
          <w:tcPr>
            <w:tcW w:w="447" w:type="dxa"/>
          </w:tcPr>
          <w:p w14:paraId="0D71A081" w14:textId="18636EDE" w:rsidR="002F4DA3" w:rsidRPr="00A75707" w:rsidRDefault="00157394" w:rsidP="00500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4" w:type="dxa"/>
          </w:tcPr>
          <w:p w14:paraId="5B272E7B" w14:textId="77777777" w:rsidR="002F4DA3" w:rsidRPr="00A75707" w:rsidRDefault="002F4DA3" w:rsidP="00500F2E">
            <w:pPr>
              <w:rPr>
                <w:sz w:val="16"/>
                <w:szCs w:val="16"/>
              </w:rPr>
            </w:pPr>
            <w:r w:rsidRPr="00A75707">
              <w:rPr>
                <w:sz w:val="16"/>
                <w:szCs w:val="16"/>
              </w:rPr>
              <w:t>Filevorming op de route bouwverkeer</w:t>
            </w:r>
          </w:p>
        </w:tc>
        <w:tc>
          <w:tcPr>
            <w:tcW w:w="2978" w:type="dxa"/>
          </w:tcPr>
          <w:p w14:paraId="092F18AD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Toenemend aantal verkeersbewegingen van bouwlogistiek, personeel en bewoners / bedrijven 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 en rond </w:t>
            </w:r>
            <w:r w:rsidR="007D3D34">
              <w:rPr>
                <w:rFonts w:asciiTheme="minorHAnsi" w:hAnsiTheme="minorHAnsi"/>
                <w:sz w:val="16"/>
                <w:szCs w:val="16"/>
              </w:rPr>
              <w:t>projectgebied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inhuizing</w:t>
            </w:r>
            <w:proofErr w:type="spellEnd"/>
            <w:r w:rsidRPr="00A75707">
              <w:rPr>
                <w:rFonts w:asciiTheme="minorHAnsi" w:hAnsiTheme="minorHAnsi"/>
                <w:sz w:val="16"/>
                <w:szCs w:val="16"/>
              </w:rPr>
              <w:t xml:space="preserve"> nieuwe bewoners</w:t>
            </w:r>
          </w:p>
          <w:p w14:paraId="6ED25F37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Obstakels op de </w:t>
            </w:r>
            <w:proofErr w:type="spellStart"/>
            <w:r w:rsidRPr="00A75707">
              <w:rPr>
                <w:rFonts w:asciiTheme="minorHAnsi" w:hAnsiTheme="minorHAnsi"/>
                <w:sz w:val="16"/>
                <w:szCs w:val="16"/>
              </w:rPr>
              <w:t>bouwweg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(bouwpersoneel / bewoners / bezoekers parkeren op de weg)</w:t>
            </w:r>
          </w:p>
          <w:p w14:paraId="179BADEE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Kruisingen bouwlogistiek en langzaam verkeer</w:t>
            </w:r>
          </w:p>
        </w:tc>
        <w:tc>
          <w:tcPr>
            <w:tcW w:w="1622" w:type="dxa"/>
          </w:tcPr>
          <w:p w14:paraId="4A6C3B22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Hulpdiensten komen te laat</w:t>
            </w:r>
          </w:p>
          <w:p w14:paraId="35255F9E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Bijna ongelukken</w:t>
            </w:r>
          </w:p>
          <w:p w14:paraId="75D2092F" w14:textId="77777777" w:rsidR="002F4DA3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Irritaties</w:t>
            </w:r>
          </w:p>
          <w:p w14:paraId="15B759A5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Claims ontwikkelaars</w:t>
            </w:r>
          </w:p>
        </w:tc>
        <w:tc>
          <w:tcPr>
            <w:tcW w:w="2445" w:type="dxa"/>
          </w:tcPr>
          <w:p w14:paraId="35F6D54D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Aanscherping H</w:t>
            </w:r>
            <w:r w:rsidRPr="00A75707">
              <w:rPr>
                <w:rFonts w:asciiTheme="minorHAnsi" w:hAnsiTheme="minorHAnsi"/>
                <w:sz w:val="16"/>
                <w:szCs w:val="16"/>
              </w:rPr>
              <w:t>andhaving BLVC-eisen</w:t>
            </w:r>
          </w:p>
          <w:p w14:paraId="5961B3F4" w14:textId="77777777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Overzichtelijke route bouwverkeer, minimaal aantal bochten en betrouwbaar (minimaal aantal wijzigingen)</w:t>
            </w:r>
          </w:p>
          <w:p w14:paraId="14416E56" w14:textId="03C0C72F" w:rsidR="002F4DA3" w:rsidRPr="00A75707" w:rsidRDefault="002F4DA3" w:rsidP="002F4DA3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Proces</w:t>
            </w:r>
            <w:r w:rsidR="00157394">
              <w:rPr>
                <w:rFonts w:asciiTheme="minorHAnsi" w:hAnsiTheme="minorHAnsi"/>
                <w:sz w:val="16"/>
                <w:szCs w:val="16"/>
              </w:rPr>
              <w:t>beschrijving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Inhuizingen</w:t>
            </w:r>
            <w:proofErr w:type="spellEnd"/>
            <w:r w:rsidR="00157394">
              <w:rPr>
                <w:rFonts w:asciiTheme="minorHAnsi" w:hAnsiTheme="minorHAnsi"/>
                <w:sz w:val="16"/>
                <w:szCs w:val="16"/>
              </w:rPr>
              <w:t xml:space="preserve">: wie doet wat om nieuwe bewoners te begeleiden bij het nemen van hun intrek in de nieuwe woning? </w:t>
            </w:r>
          </w:p>
        </w:tc>
      </w:tr>
      <w:tr w:rsidR="002F4DA3" w:rsidRPr="00A75707" w14:paraId="3C1DF23C" w14:textId="77777777" w:rsidTr="00500F2E">
        <w:trPr>
          <w:trHeight w:val="795"/>
        </w:trPr>
        <w:tc>
          <w:tcPr>
            <w:tcW w:w="447" w:type="dxa"/>
          </w:tcPr>
          <w:p w14:paraId="0836160B" w14:textId="39A0EFEC" w:rsidR="002F4DA3" w:rsidRPr="00A75707" w:rsidRDefault="00157394" w:rsidP="00500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4" w:type="dxa"/>
          </w:tcPr>
          <w:p w14:paraId="1DF8627D" w14:textId="77777777" w:rsidR="002F4DA3" w:rsidRPr="00A75707" w:rsidRDefault="002F4DA3" w:rsidP="00500F2E">
            <w:pPr>
              <w:rPr>
                <w:sz w:val="16"/>
                <w:szCs w:val="16"/>
              </w:rPr>
            </w:pPr>
            <w:r w:rsidRPr="00A75707">
              <w:rPr>
                <w:sz w:val="16"/>
                <w:szCs w:val="16"/>
              </w:rPr>
              <w:t>(Bijna) Ongevallen met bouwverkeer in de openbare ruimte</w:t>
            </w:r>
          </w:p>
        </w:tc>
        <w:tc>
          <w:tcPr>
            <w:tcW w:w="2978" w:type="dxa"/>
          </w:tcPr>
          <w:p w14:paraId="5CE71B9E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Kruisingen van bouwverkeer en langzaam verkeer</w:t>
            </w:r>
          </w:p>
          <w:p w14:paraId="291B5DCF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Onoverzichtelijke, tijdelijke of gewijzigde (</w:t>
            </w:r>
            <w:proofErr w:type="spellStart"/>
            <w:r w:rsidRPr="00A75707">
              <w:rPr>
                <w:rFonts w:asciiTheme="minorHAnsi" w:hAnsiTheme="minorHAnsi"/>
                <w:sz w:val="16"/>
                <w:szCs w:val="16"/>
              </w:rPr>
              <w:t>verkeers</w:t>
            </w:r>
            <w:proofErr w:type="spellEnd"/>
            <w:r w:rsidRPr="00A75707">
              <w:rPr>
                <w:rFonts w:asciiTheme="minorHAnsi" w:hAnsiTheme="minorHAnsi"/>
                <w:sz w:val="16"/>
                <w:szCs w:val="16"/>
              </w:rPr>
              <w:t>)situaties</w:t>
            </w:r>
          </w:p>
          <w:p w14:paraId="19EA86C6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Onvoldoende aandacht voor verkeersveiligheid</w:t>
            </w:r>
          </w:p>
          <w:p w14:paraId="554112B9" w14:textId="77777777" w:rsidR="002F4DA3" w:rsidRPr="00A75707" w:rsidRDefault="007D3D34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Versmallingen in de weg door inrichting of werkzaamheden</w:t>
            </w:r>
          </w:p>
          <w:p w14:paraId="3C783746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Menselijk handelen / gedrag (harder rijden dan toegestaan, bewoners of bezoekers wandelen of fietsen op route voor bouwverkeer)</w:t>
            </w:r>
          </w:p>
        </w:tc>
        <w:tc>
          <w:tcPr>
            <w:tcW w:w="1622" w:type="dxa"/>
          </w:tcPr>
          <w:p w14:paraId="6AED39C4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(Bijna) ongeval</w:t>
            </w:r>
            <w:r>
              <w:rPr>
                <w:rFonts w:asciiTheme="minorHAnsi" w:hAnsiTheme="minorHAnsi"/>
                <w:sz w:val="16"/>
                <w:szCs w:val="16"/>
              </w:rPr>
              <w:t>len</w:t>
            </w:r>
          </w:p>
        </w:tc>
        <w:tc>
          <w:tcPr>
            <w:tcW w:w="2445" w:type="dxa"/>
          </w:tcPr>
          <w:p w14:paraId="29CDFD08" w14:textId="0A22E464" w:rsidR="002F4DA3" w:rsidRPr="00A75707" w:rsidRDefault="00157394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Veiligheidsc</w:t>
            </w:r>
            <w:r w:rsidR="002F4DA3" w:rsidRPr="00A75707">
              <w:rPr>
                <w:rFonts w:asciiTheme="minorHAnsi" w:hAnsiTheme="minorHAnsi"/>
                <w:sz w:val="16"/>
                <w:szCs w:val="16"/>
              </w:rPr>
              <w:t xml:space="preserve">ampagne </w:t>
            </w:r>
          </w:p>
          <w:p w14:paraId="5E70D3E0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Zebrapad met oversteeksignalering</w:t>
            </w:r>
          </w:p>
          <w:p w14:paraId="297D2C84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Herkenbare langzaam verkeerroutes</w:t>
            </w:r>
          </w:p>
          <w:p w14:paraId="42218C42" w14:textId="77777777" w:rsidR="002F4DA3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Instellen max snelheid</w:t>
            </w:r>
          </w:p>
          <w:p w14:paraId="1C0EA4AF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Bouwfilm voor het tijdig oplossen van </w:t>
            </w:r>
            <w:proofErr w:type="spellStart"/>
            <w:r w:rsidRPr="00A75707">
              <w:rPr>
                <w:rFonts w:asciiTheme="minorHAnsi" w:hAnsiTheme="minorHAnsi"/>
                <w:sz w:val="16"/>
                <w:szCs w:val="16"/>
              </w:rPr>
              <w:t>bouwlogistieke</w:t>
            </w:r>
            <w:proofErr w:type="spellEnd"/>
            <w:r w:rsidRPr="00A75707">
              <w:rPr>
                <w:rFonts w:asciiTheme="minorHAnsi" w:hAnsiTheme="minorHAnsi"/>
                <w:sz w:val="16"/>
                <w:szCs w:val="16"/>
              </w:rPr>
              <w:t xml:space="preserve"> knelpunten</w:t>
            </w:r>
          </w:p>
          <w:p w14:paraId="78D085D8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Coördinatie BLVC</w:t>
            </w:r>
          </w:p>
          <w:p w14:paraId="72AB991D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Digitaal meldpunt gevaarlijke situaties</w:t>
            </w:r>
          </w:p>
        </w:tc>
      </w:tr>
      <w:tr w:rsidR="002F4DA3" w:rsidRPr="00A75707" w14:paraId="3B034873" w14:textId="77777777" w:rsidTr="00500F2E">
        <w:tc>
          <w:tcPr>
            <w:tcW w:w="447" w:type="dxa"/>
          </w:tcPr>
          <w:p w14:paraId="63E2B5A5" w14:textId="6E211031" w:rsidR="002F4DA3" w:rsidRPr="00A75707" w:rsidRDefault="00157394" w:rsidP="00500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4" w:type="dxa"/>
          </w:tcPr>
          <w:p w14:paraId="0B5F7095" w14:textId="77777777" w:rsidR="002F4DA3" w:rsidRPr="00A75707" w:rsidRDefault="002F4DA3" w:rsidP="00500F2E">
            <w:pPr>
              <w:rPr>
                <w:sz w:val="16"/>
                <w:szCs w:val="16"/>
              </w:rPr>
            </w:pPr>
            <w:r w:rsidRPr="00A75707">
              <w:rPr>
                <w:sz w:val="16"/>
                <w:szCs w:val="16"/>
              </w:rPr>
              <w:t>Ontstaan van gevaarlijke situaties</w:t>
            </w:r>
          </w:p>
        </w:tc>
        <w:tc>
          <w:tcPr>
            <w:tcW w:w="2978" w:type="dxa"/>
          </w:tcPr>
          <w:p w14:paraId="676EBE59" w14:textId="77777777" w:rsidR="002F4DA3" w:rsidRPr="00571859" w:rsidRDefault="002F4DA3" w:rsidP="002F4DA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571859">
              <w:rPr>
                <w:rFonts w:asciiTheme="minorHAnsi" w:hAnsiTheme="minorHAnsi"/>
                <w:sz w:val="16"/>
                <w:szCs w:val="16"/>
              </w:rPr>
              <w:t xml:space="preserve">Zoekend bouwverkeer / keren op de weg </w:t>
            </w:r>
          </w:p>
          <w:p w14:paraId="1E893B58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Onbevoegden kunnen het werkterrein betreden</w:t>
            </w:r>
          </w:p>
        </w:tc>
        <w:tc>
          <w:tcPr>
            <w:tcW w:w="1622" w:type="dxa"/>
          </w:tcPr>
          <w:p w14:paraId="11B65EBC" w14:textId="77777777" w:rsidR="002F4DA3" w:rsidRPr="00FC5048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FC5048">
              <w:rPr>
                <w:rFonts w:asciiTheme="minorHAnsi" w:hAnsiTheme="minorHAnsi"/>
                <w:sz w:val="16"/>
                <w:szCs w:val="16"/>
              </w:rPr>
              <w:t>(Bijna) ongeval</w:t>
            </w:r>
          </w:p>
        </w:tc>
        <w:tc>
          <w:tcPr>
            <w:tcW w:w="2445" w:type="dxa"/>
          </w:tcPr>
          <w:p w14:paraId="1C5D1BE1" w14:textId="5A2BF641" w:rsidR="002F4DA3" w:rsidRPr="00FC5048" w:rsidRDefault="00157394" w:rsidP="0015739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Veiligheidsc</w:t>
            </w:r>
            <w:r w:rsidR="002F4DA3" w:rsidRPr="00953D5B">
              <w:rPr>
                <w:rFonts w:asciiTheme="minorHAnsi" w:hAnsiTheme="minorHAnsi"/>
                <w:sz w:val="16"/>
                <w:szCs w:val="16"/>
              </w:rPr>
              <w:t>ampagne, waaronder: digitaal meldpunt gevaarlijke situaties</w:t>
            </w:r>
          </w:p>
        </w:tc>
      </w:tr>
      <w:tr w:rsidR="002F4DA3" w:rsidRPr="00A75707" w14:paraId="3F4256C0" w14:textId="77777777" w:rsidTr="00500F2E">
        <w:trPr>
          <w:trHeight w:val="795"/>
        </w:trPr>
        <w:tc>
          <w:tcPr>
            <w:tcW w:w="447" w:type="dxa"/>
          </w:tcPr>
          <w:p w14:paraId="07FF4916" w14:textId="05771161" w:rsidR="002F4DA3" w:rsidRPr="00A75707" w:rsidRDefault="00157394" w:rsidP="00500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4" w:type="dxa"/>
          </w:tcPr>
          <w:p w14:paraId="67A37448" w14:textId="77777777" w:rsidR="002F4DA3" w:rsidRPr="00A75707" w:rsidRDefault="002F4DA3" w:rsidP="00500F2E">
            <w:pPr>
              <w:rPr>
                <w:sz w:val="16"/>
                <w:szCs w:val="16"/>
              </w:rPr>
            </w:pPr>
            <w:r w:rsidRPr="00A75707">
              <w:rPr>
                <w:sz w:val="16"/>
                <w:szCs w:val="16"/>
              </w:rPr>
              <w:t>Vertraging in aanleg K&amp;L huisaansluitingen</w:t>
            </w:r>
          </w:p>
        </w:tc>
        <w:tc>
          <w:tcPr>
            <w:tcW w:w="2978" w:type="dxa"/>
          </w:tcPr>
          <w:p w14:paraId="04B0DD34" w14:textId="652554ED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Late / onvolledige reac</w:t>
            </w:r>
            <w:r w:rsidR="002C6667">
              <w:rPr>
                <w:rFonts w:asciiTheme="minorHAnsi" w:hAnsiTheme="minorHAnsi"/>
                <w:sz w:val="16"/>
                <w:szCs w:val="16"/>
              </w:rPr>
              <w:t xml:space="preserve">tie K&amp;L-beheerders in </w:t>
            </w:r>
            <w:r w:rsidR="0034590F">
              <w:rPr>
                <w:rFonts w:asciiTheme="minorHAnsi" w:hAnsiTheme="minorHAnsi"/>
                <w:sz w:val="16"/>
                <w:szCs w:val="16"/>
              </w:rPr>
              <w:t>vergunningen</w:t>
            </w:r>
            <w:r w:rsidRPr="00A75707">
              <w:rPr>
                <w:rFonts w:asciiTheme="minorHAnsi" w:hAnsiTheme="minorHAnsi"/>
                <w:sz w:val="16"/>
                <w:szCs w:val="16"/>
              </w:rPr>
              <w:t>procedure</w:t>
            </w:r>
            <w:r w:rsidR="0034590F">
              <w:rPr>
                <w:rFonts w:asciiTheme="minorHAnsi" w:hAnsiTheme="minorHAnsi"/>
                <w:sz w:val="16"/>
                <w:szCs w:val="16"/>
              </w:rPr>
              <w:t xml:space="preserve"> voor K&amp;L</w:t>
            </w:r>
          </w:p>
          <w:p w14:paraId="1022CEB6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>Vertraging aanleg K&amp;L door verontreinigingen ondergrond</w:t>
            </w:r>
          </w:p>
          <w:p w14:paraId="2260E626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A75707">
              <w:rPr>
                <w:rFonts w:asciiTheme="minorHAnsi" w:hAnsiTheme="minorHAnsi"/>
                <w:sz w:val="16"/>
                <w:szCs w:val="16"/>
              </w:rPr>
              <w:t xml:space="preserve">Wijzigingen in planning oplevering door ontwikkelaar </w:t>
            </w:r>
          </w:p>
        </w:tc>
        <w:tc>
          <w:tcPr>
            <w:tcW w:w="1622" w:type="dxa"/>
          </w:tcPr>
          <w:p w14:paraId="7A6A04F6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445" w:type="dxa"/>
          </w:tcPr>
          <w:p w14:paraId="504D444E" w14:textId="77777777" w:rsidR="002F4DA3" w:rsidRPr="00A75707" w:rsidRDefault="002F4DA3" w:rsidP="002F4DA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14:paraId="6F06EB99" w14:textId="77777777" w:rsidR="002F4DA3" w:rsidRDefault="002F4DA3" w:rsidP="002F4DA3"/>
    <w:p w14:paraId="77894357" w14:textId="77777777" w:rsidR="002F4DA3" w:rsidRDefault="002F4DA3" w:rsidP="002F4DA3"/>
    <w:p w14:paraId="67E95D0F" w14:textId="31979E58" w:rsidR="002F4DA3" w:rsidRPr="00284122" w:rsidRDefault="000B1AE3" w:rsidP="002F4DA3">
      <w:r>
        <w:br w:type="column"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"/>
        <w:gridCol w:w="1598"/>
        <w:gridCol w:w="556"/>
        <w:gridCol w:w="575"/>
        <w:gridCol w:w="606"/>
        <w:gridCol w:w="1706"/>
        <w:gridCol w:w="1398"/>
        <w:gridCol w:w="1631"/>
      </w:tblGrid>
      <w:tr w:rsidR="002F4DA3" w:rsidRPr="00FC5048" w14:paraId="79599764" w14:textId="77777777" w:rsidTr="005B1163">
        <w:trPr>
          <w:tblHeader/>
        </w:trPr>
        <w:tc>
          <w:tcPr>
            <w:tcW w:w="556" w:type="dxa"/>
            <w:gridSpan w:val="8"/>
            <w:shd w:val="clear" w:color="auto" w:fill="BFBFBF" w:themeFill="background1" w:themeFillShade="BF"/>
          </w:tcPr>
          <w:p w14:paraId="7EA3FD69" w14:textId="7BA4282B" w:rsidR="002F4DA3" w:rsidRDefault="002F4DA3" w:rsidP="005B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Hinder Omgeving</w:t>
            </w:r>
            <w:r w:rsidR="005B1163">
              <w:rPr>
                <w:b/>
                <w:sz w:val="20"/>
                <w:szCs w:val="20"/>
              </w:rPr>
              <w:t>: Bereikbaarheid, Leefbaarheid, Veiligheid en Hinderbeleving</w:t>
            </w:r>
          </w:p>
          <w:p w14:paraId="743D93BC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</w:p>
        </w:tc>
      </w:tr>
      <w:tr w:rsidR="002F4DA3" w:rsidRPr="00FC5048" w14:paraId="3C18C156" w14:textId="77777777" w:rsidTr="005B1163">
        <w:trPr>
          <w:tblHeader/>
        </w:trPr>
        <w:tc>
          <w:tcPr>
            <w:tcW w:w="402" w:type="dxa"/>
            <w:shd w:val="clear" w:color="auto" w:fill="BFBFBF" w:themeFill="background1" w:themeFillShade="BF"/>
          </w:tcPr>
          <w:p w14:paraId="7D11E085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  <w:proofErr w:type="spellStart"/>
            <w:r w:rsidRPr="00FC504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598" w:type="dxa"/>
            <w:shd w:val="clear" w:color="auto" w:fill="BFBFBF" w:themeFill="background1" w:themeFillShade="BF"/>
          </w:tcPr>
          <w:p w14:paraId="31DF3EA3" w14:textId="20A265D8" w:rsidR="002F4DA3" w:rsidRPr="00FC5048" w:rsidRDefault="00500F2E" w:rsidP="005B11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Onge</w:t>
            </w:r>
            <w:r w:rsidR="000B1AE3">
              <w:rPr>
                <w:b/>
                <w:sz w:val="20"/>
                <w:szCs w:val="20"/>
              </w:rPr>
              <w:t>wenste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4DA3" w:rsidRPr="00FC5048">
              <w:rPr>
                <w:b/>
                <w:sz w:val="20"/>
                <w:szCs w:val="20"/>
              </w:rPr>
              <w:t>gebeurtenis</w:t>
            </w:r>
          </w:p>
        </w:tc>
        <w:tc>
          <w:tcPr>
            <w:tcW w:w="556" w:type="dxa"/>
            <w:gridSpan w:val="3"/>
            <w:shd w:val="clear" w:color="auto" w:fill="BFBFBF" w:themeFill="background1" w:themeFillShade="BF"/>
          </w:tcPr>
          <w:p w14:paraId="5C72B17B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Impact op doelgroep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370F935A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 xml:space="preserve">Oorzaak 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6B94AB1A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Gevolg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14:paraId="4174E241" w14:textId="77777777" w:rsidR="002F4DA3" w:rsidRPr="00FC5048" w:rsidRDefault="002F4DA3" w:rsidP="005B1163">
            <w:pPr>
              <w:rPr>
                <w:b/>
                <w:sz w:val="20"/>
                <w:szCs w:val="20"/>
              </w:rPr>
            </w:pPr>
            <w:r w:rsidRPr="00FC5048">
              <w:rPr>
                <w:b/>
                <w:sz w:val="20"/>
                <w:szCs w:val="20"/>
              </w:rPr>
              <w:t>Beheersing door:</w:t>
            </w:r>
          </w:p>
        </w:tc>
      </w:tr>
      <w:tr w:rsidR="00BC59E2" w:rsidRPr="00A75707" w14:paraId="20362689" w14:textId="77777777" w:rsidTr="005B1163">
        <w:trPr>
          <w:tblHeader/>
        </w:trPr>
        <w:tc>
          <w:tcPr>
            <w:tcW w:w="402" w:type="dxa"/>
          </w:tcPr>
          <w:p w14:paraId="6C8B2F1A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598" w:type="dxa"/>
          </w:tcPr>
          <w:p w14:paraId="329AE4DE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7B4AEC31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  <w:proofErr w:type="spellStart"/>
            <w:r>
              <w:rPr>
                <w:rFonts w:eastAsia="Circular Book" w:cs="Circular Book"/>
                <w:sz w:val="16"/>
                <w:szCs w:val="16"/>
              </w:rPr>
              <w:t>b</w:t>
            </w:r>
            <w:r w:rsidRPr="00A75707">
              <w:rPr>
                <w:rFonts w:eastAsia="Circular Book" w:cs="Circular Book"/>
                <w:sz w:val="16"/>
                <w:szCs w:val="16"/>
              </w:rPr>
              <w:t>ew</w:t>
            </w:r>
            <w:proofErr w:type="spellEnd"/>
            <w:r w:rsidRPr="00A75707">
              <w:rPr>
                <w:rFonts w:eastAsia="Circular Book" w:cs="Circular Book"/>
                <w:sz w:val="16"/>
                <w:szCs w:val="16"/>
              </w:rPr>
              <w:t xml:space="preserve">/ </w:t>
            </w:r>
            <w:proofErr w:type="spellStart"/>
            <w:r w:rsidRPr="00A75707">
              <w:rPr>
                <w:rFonts w:eastAsia="Circular Book" w:cs="Circular Book"/>
                <w:sz w:val="16"/>
                <w:szCs w:val="16"/>
              </w:rPr>
              <w:t>bez</w:t>
            </w:r>
            <w:proofErr w:type="spellEnd"/>
          </w:p>
        </w:tc>
        <w:tc>
          <w:tcPr>
            <w:tcW w:w="556" w:type="dxa"/>
          </w:tcPr>
          <w:p w14:paraId="045401F3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  <w:proofErr w:type="spellStart"/>
            <w:r w:rsidRPr="00A75707">
              <w:rPr>
                <w:rFonts w:eastAsia="Circular Book" w:cs="Circular Book"/>
                <w:sz w:val="16"/>
                <w:szCs w:val="16"/>
              </w:rPr>
              <w:t>Scho</w:t>
            </w:r>
            <w:r>
              <w:rPr>
                <w:rFonts w:eastAsia="Circular Book" w:cs="Circular Book"/>
                <w:sz w:val="16"/>
                <w:szCs w:val="16"/>
              </w:rPr>
              <w:t>-</w:t>
            </w:r>
            <w:r w:rsidRPr="00A75707">
              <w:rPr>
                <w:rFonts w:eastAsia="Circular Book" w:cs="Circular Book"/>
                <w:sz w:val="16"/>
                <w:szCs w:val="16"/>
              </w:rPr>
              <w:t>len</w:t>
            </w:r>
            <w:proofErr w:type="spellEnd"/>
          </w:p>
        </w:tc>
        <w:tc>
          <w:tcPr>
            <w:tcW w:w="556" w:type="dxa"/>
          </w:tcPr>
          <w:p w14:paraId="33C36E8E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  <w:proofErr w:type="spellStart"/>
            <w:r w:rsidRPr="00A75707">
              <w:rPr>
                <w:rFonts w:eastAsia="Circular Book" w:cs="Circular Book"/>
                <w:sz w:val="16"/>
                <w:szCs w:val="16"/>
              </w:rPr>
              <w:t>Bedr</w:t>
            </w:r>
            <w:proofErr w:type="spellEnd"/>
            <w:r>
              <w:rPr>
                <w:rFonts w:eastAsia="Circular Book" w:cs="Circular Book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eastAsia="Circular Book" w:cs="Circular Book"/>
                <w:sz w:val="16"/>
                <w:szCs w:val="16"/>
              </w:rPr>
              <w:t>instell</w:t>
            </w:r>
            <w:proofErr w:type="spellEnd"/>
          </w:p>
          <w:p w14:paraId="65FABA88" w14:textId="6B75043E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5ED2EB11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398" w:type="dxa"/>
          </w:tcPr>
          <w:p w14:paraId="5C90C816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958D6D3" w14:textId="77777777" w:rsidR="00BC59E2" w:rsidRPr="00A75707" w:rsidRDefault="00BC59E2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</w:tr>
      <w:tr w:rsidR="002F4DA3" w:rsidRPr="00A75707" w14:paraId="040C4119" w14:textId="77777777" w:rsidTr="005B1163">
        <w:tc>
          <w:tcPr>
            <w:tcW w:w="556" w:type="dxa"/>
            <w:gridSpan w:val="8"/>
          </w:tcPr>
          <w:p w14:paraId="58710CFE" w14:textId="77777777" w:rsidR="002F4DA3" w:rsidRPr="00A75707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Bereikbaarheid</w:t>
            </w:r>
          </w:p>
        </w:tc>
      </w:tr>
      <w:tr w:rsidR="00500F2E" w:rsidRPr="00A75707" w14:paraId="604D61FA" w14:textId="77777777" w:rsidTr="005B1163">
        <w:trPr>
          <w:trHeight w:val="838"/>
        </w:trPr>
        <w:tc>
          <w:tcPr>
            <w:tcW w:w="402" w:type="dxa"/>
          </w:tcPr>
          <w:p w14:paraId="652A00DF" w14:textId="43E2672B" w:rsidR="00500F2E" w:rsidRPr="00A75707" w:rsidRDefault="00157394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1</w:t>
            </w:r>
          </w:p>
        </w:tc>
        <w:tc>
          <w:tcPr>
            <w:tcW w:w="1598" w:type="dxa"/>
          </w:tcPr>
          <w:p w14:paraId="17704BF9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Routing is niet aantrekkelijk of onvoldoende bekend bij bewoners en bezoekers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4A1F4495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2C96D9A7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14:paraId="06FA9EF1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57B03035" w14:textId="77777777" w:rsidR="00500F2E" w:rsidRPr="00953D5B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953D5B">
              <w:rPr>
                <w:rFonts w:asciiTheme="minorHAnsi" w:hAnsiTheme="minorHAnsi"/>
                <w:sz w:val="16"/>
                <w:szCs w:val="16"/>
              </w:rPr>
              <w:t>Adres niet vindbaar op navigatiesysteem</w:t>
            </w:r>
          </w:p>
          <w:p w14:paraId="1D3644FC" w14:textId="77777777" w:rsidR="00500F2E" w:rsidRPr="00953D5B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953D5B">
              <w:rPr>
                <w:rFonts w:asciiTheme="minorHAnsi" w:hAnsiTheme="minorHAnsi"/>
                <w:sz w:val="16"/>
                <w:szCs w:val="16"/>
              </w:rPr>
              <w:t>Veilige routes zijn buiten niet herkenbaar</w:t>
            </w:r>
          </w:p>
          <w:p w14:paraId="46014852" w14:textId="77777777" w:rsidR="00500F2E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Omleidingen in langzaam verkeerroutes</w:t>
            </w:r>
          </w:p>
          <w:p w14:paraId="3A404449" w14:textId="77777777" w:rsidR="00500F2E" w:rsidRPr="00953D5B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 r</w:t>
            </w:r>
            <w:r w:rsidRPr="00953D5B">
              <w:rPr>
                <w:rFonts w:asciiTheme="minorHAnsi" w:hAnsiTheme="minorHAnsi"/>
                <w:sz w:val="16"/>
                <w:szCs w:val="16"/>
              </w:rPr>
              <w:t>outing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wijzigt regelmatig</w:t>
            </w:r>
          </w:p>
          <w:p w14:paraId="4E887DD5" w14:textId="77777777" w:rsidR="00500F2E" w:rsidRPr="00953D5B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953D5B">
              <w:rPr>
                <w:rFonts w:asciiTheme="minorHAnsi" w:hAnsiTheme="minorHAnsi"/>
                <w:sz w:val="16"/>
                <w:szCs w:val="16"/>
              </w:rPr>
              <w:t>Onvoldoende communicatie / onduidelijke bebording</w:t>
            </w:r>
          </w:p>
        </w:tc>
        <w:tc>
          <w:tcPr>
            <w:tcW w:w="1398" w:type="dxa"/>
          </w:tcPr>
          <w:p w14:paraId="655041FF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Onveilige verkeerssituaties, (bijna) ongevallen</w:t>
            </w:r>
          </w:p>
        </w:tc>
        <w:tc>
          <w:tcPr>
            <w:tcW w:w="1217" w:type="dxa"/>
          </w:tcPr>
          <w:p w14:paraId="5300C9DF" w14:textId="55EA2363" w:rsidR="00500F2E" w:rsidRPr="00A75707" w:rsidRDefault="00157394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Veiligheidsc</w:t>
            </w:r>
            <w:r w:rsidR="00500F2E">
              <w:rPr>
                <w:rFonts w:eastAsia="Circular Book" w:cs="Circular Book"/>
                <w:sz w:val="16"/>
                <w:szCs w:val="16"/>
              </w:rPr>
              <w:t>ampagne, herkenbare langzaam verkeerroutes, brochures nieuwe bewoners</w:t>
            </w:r>
          </w:p>
        </w:tc>
      </w:tr>
      <w:tr w:rsidR="00500F2E" w:rsidRPr="00A75707" w14:paraId="71C75182" w14:textId="77777777" w:rsidTr="005B1163">
        <w:trPr>
          <w:trHeight w:val="1355"/>
        </w:trPr>
        <w:tc>
          <w:tcPr>
            <w:tcW w:w="402" w:type="dxa"/>
          </w:tcPr>
          <w:p w14:paraId="13B4983A" w14:textId="1A127213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2</w:t>
            </w:r>
          </w:p>
        </w:tc>
        <w:tc>
          <w:tcPr>
            <w:tcW w:w="1598" w:type="dxa"/>
          </w:tcPr>
          <w:p w14:paraId="1240ABD6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Verkeerschaos bij gelijktijdig inhuizen van nieuwe bewoners</w:t>
            </w:r>
          </w:p>
        </w:tc>
        <w:tc>
          <w:tcPr>
            <w:tcW w:w="556" w:type="dxa"/>
            <w:shd w:val="clear" w:color="auto" w:fill="auto"/>
          </w:tcPr>
          <w:p w14:paraId="560CDE26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14:paraId="46B3347E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14:paraId="5AC90387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6C99316D" w14:textId="77777777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4171C5">
              <w:rPr>
                <w:rFonts w:asciiTheme="minorHAnsi" w:hAnsiTheme="minorHAnsi"/>
                <w:sz w:val="16"/>
                <w:szCs w:val="16"/>
              </w:rPr>
              <w:t xml:space="preserve">Beschikbare ruimte op maaiveld is beperkt. </w:t>
            </w:r>
          </w:p>
          <w:p w14:paraId="4C0A0534" w14:textId="77777777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4171C5">
              <w:rPr>
                <w:rFonts w:asciiTheme="minorHAnsi" w:hAnsiTheme="minorHAnsi"/>
                <w:sz w:val="16"/>
                <w:szCs w:val="16"/>
              </w:rPr>
              <w:t>Onvoldoende regie en samenwerking</w:t>
            </w:r>
          </w:p>
        </w:tc>
        <w:tc>
          <w:tcPr>
            <w:tcW w:w="1398" w:type="dxa"/>
          </w:tcPr>
          <w:p w14:paraId="3776773B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Stress, burenruzies, beschadigingen, (bijna) ongelukken, claims</w:t>
            </w:r>
          </w:p>
        </w:tc>
        <w:tc>
          <w:tcPr>
            <w:tcW w:w="1217" w:type="dxa"/>
          </w:tcPr>
          <w:p w14:paraId="56C8D605" w14:textId="432D133E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 xml:space="preserve">Proces </w:t>
            </w:r>
            <w:r w:rsidR="00257C8C">
              <w:rPr>
                <w:rFonts w:eastAsia="Circular Book" w:cs="Circular Book"/>
                <w:sz w:val="16"/>
                <w:szCs w:val="16"/>
              </w:rPr>
              <w:t>verhuizingen</w:t>
            </w:r>
            <w:r>
              <w:rPr>
                <w:rFonts w:eastAsia="Circular Book" w:cs="Circular Book"/>
                <w:sz w:val="16"/>
                <w:szCs w:val="16"/>
              </w:rPr>
              <w:t xml:space="preserve"> met o.a.  een vergoeding voor verhuis- coördinator </w:t>
            </w:r>
          </w:p>
        </w:tc>
      </w:tr>
      <w:tr w:rsidR="002F4DA3" w:rsidRPr="00A75707" w14:paraId="32D97CBF" w14:textId="77777777" w:rsidTr="005B1163">
        <w:trPr>
          <w:trHeight w:val="292"/>
        </w:trPr>
        <w:tc>
          <w:tcPr>
            <w:tcW w:w="556" w:type="dxa"/>
            <w:gridSpan w:val="8"/>
          </w:tcPr>
          <w:p w14:paraId="068EE450" w14:textId="77777777" w:rsidR="002F4DA3" w:rsidRPr="00A75707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Leefbaarheid</w:t>
            </w:r>
          </w:p>
        </w:tc>
      </w:tr>
      <w:tr w:rsidR="00500F2E" w:rsidRPr="00A75707" w14:paraId="4F699060" w14:textId="77777777" w:rsidTr="005B1163">
        <w:tc>
          <w:tcPr>
            <w:tcW w:w="402" w:type="dxa"/>
          </w:tcPr>
          <w:p w14:paraId="5C938141" w14:textId="59A8AF49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3</w:t>
            </w:r>
          </w:p>
        </w:tc>
        <w:tc>
          <w:tcPr>
            <w:tcW w:w="1598" w:type="dxa"/>
          </w:tcPr>
          <w:p w14:paraId="21D27A99" w14:textId="0687D65B" w:rsidR="00500F2E" w:rsidRPr="00CB0A3E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Jarenlange aanhoudende overlast omgeving projectgebied (bij langdurige gebiedsontwikkeling)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2B60D36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3D258AFD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065062BA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54E8343D" w14:textId="77777777" w:rsidR="00500F2E" w:rsidRPr="00953D5B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953D5B">
              <w:rPr>
                <w:rFonts w:asciiTheme="minorHAnsi" w:hAnsiTheme="minorHAnsi"/>
                <w:sz w:val="16"/>
                <w:szCs w:val="16"/>
              </w:rPr>
              <w:t>Omliggende wijken worden onvoldoende betrokken bij het project</w:t>
            </w:r>
          </w:p>
        </w:tc>
        <w:tc>
          <w:tcPr>
            <w:tcW w:w="1398" w:type="dxa"/>
          </w:tcPr>
          <w:p w14:paraId="6B28EA9D" w14:textId="479D7348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Imagoschade project, maatschappelijke onrust, negatieve pers, gevoel van “oude bewoners tegen nieuwe”</w:t>
            </w:r>
          </w:p>
        </w:tc>
        <w:tc>
          <w:tcPr>
            <w:tcW w:w="1217" w:type="dxa"/>
          </w:tcPr>
          <w:p w14:paraId="1BBD7CCD" w14:textId="3404FADF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proofErr w:type="spellStart"/>
            <w:r>
              <w:rPr>
                <w:rFonts w:eastAsia="Circular Book" w:cs="Circular Book"/>
                <w:sz w:val="16"/>
                <w:szCs w:val="16"/>
              </w:rPr>
              <w:t>Compensatie-regeling</w:t>
            </w:r>
            <w:proofErr w:type="spellEnd"/>
            <w:r>
              <w:rPr>
                <w:rFonts w:eastAsia="Circular Book" w:cs="Circular Book"/>
                <w:sz w:val="16"/>
                <w:szCs w:val="16"/>
              </w:rPr>
              <w:t xml:space="preserve"> </w:t>
            </w:r>
          </w:p>
        </w:tc>
      </w:tr>
      <w:tr w:rsidR="00500F2E" w:rsidRPr="00A75707" w14:paraId="1F8D2268" w14:textId="77777777" w:rsidTr="005B1163">
        <w:tc>
          <w:tcPr>
            <w:tcW w:w="402" w:type="dxa"/>
          </w:tcPr>
          <w:p w14:paraId="1FD48CCB" w14:textId="7E983377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4</w:t>
            </w:r>
          </w:p>
        </w:tc>
        <w:tc>
          <w:tcPr>
            <w:tcW w:w="1598" w:type="dxa"/>
          </w:tcPr>
          <w:p w14:paraId="3829FA06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Georganiseerde opstand van bewoners / belangengroepen</w:t>
            </w:r>
          </w:p>
        </w:tc>
        <w:tc>
          <w:tcPr>
            <w:tcW w:w="556" w:type="dxa"/>
            <w:shd w:val="clear" w:color="auto" w:fill="auto"/>
          </w:tcPr>
          <w:p w14:paraId="3D698D73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15644361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64113645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35BDE58" w14:textId="77777777" w:rsidR="00500F2E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Verwachtingen komen niet overeen met de werkelijke situatie</w:t>
            </w:r>
          </w:p>
          <w:p w14:paraId="766D914F" w14:textId="77777777" w:rsidR="00500F2E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 w:rsidRPr="00953D5B">
              <w:rPr>
                <w:rFonts w:asciiTheme="minorHAnsi" w:hAnsiTheme="minorHAnsi"/>
                <w:sz w:val="16"/>
                <w:szCs w:val="16"/>
              </w:rPr>
              <w:t>Blootstelling aan hinder (intensiteit) en de duur is groter en langer dan verwacht</w:t>
            </w:r>
          </w:p>
          <w:p w14:paraId="646C7E81" w14:textId="77777777" w:rsidR="00500F2E" w:rsidRPr="00FC5048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Wettelijke normen (geluid en trilling) worden overtreden door cumulatieve hinder van meerdere werken</w:t>
            </w:r>
          </w:p>
        </w:tc>
        <w:tc>
          <w:tcPr>
            <w:tcW w:w="1398" w:type="dxa"/>
          </w:tcPr>
          <w:p w14:paraId="313E0FFA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Imagoschade project, negatieve publiciteit, maatschappelijke onrust, ontevreden bewoners, claims</w:t>
            </w:r>
          </w:p>
        </w:tc>
        <w:tc>
          <w:tcPr>
            <w:tcW w:w="1217" w:type="dxa"/>
          </w:tcPr>
          <w:p w14:paraId="34F7BFFD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 xml:space="preserve">Communicatie </w:t>
            </w:r>
          </w:p>
        </w:tc>
      </w:tr>
      <w:tr w:rsidR="002F4DA3" w:rsidRPr="00A75707" w14:paraId="6B2AD196" w14:textId="77777777" w:rsidTr="005B1163">
        <w:tc>
          <w:tcPr>
            <w:tcW w:w="556" w:type="dxa"/>
            <w:gridSpan w:val="8"/>
          </w:tcPr>
          <w:p w14:paraId="046DACED" w14:textId="77777777" w:rsidR="002F4DA3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Veiligheid</w:t>
            </w:r>
          </w:p>
          <w:p w14:paraId="7E8FBBF6" w14:textId="77777777" w:rsidR="002F4DA3" w:rsidRPr="00A75707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</w:tr>
      <w:tr w:rsidR="00500F2E" w:rsidRPr="00A75707" w14:paraId="53E20089" w14:textId="77777777" w:rsidTr="005B1163">
        <w:trPr>
          <w:trHeight w:val="236"/>
        </w:trPr>
        <w:tc>
          <w:tcPr>
            <w:tcW w:w="402" w:type="dxa"/>
          </w:tcPr>
          <w:p w14:paraId="64B76632" w14:textId="56C5BAB6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5</w:t>
            </w:r>
          </w:p>
        </w:tc>
        <w:tc>
          <w:tcPr>
            <w:tcW w:w="1598" w:type="dxa"/>
          </w:tcPr>
          <w:p w14:paraId="6AD86BFF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Onveilige situaties voor kinderen rondom scholen</w:t>
            </w:r>
          </w:p>
        </w:tc>
        <w:tc>
          <w:tcPr>
            <w:tcW w:w="556" w:type="dxa"/>
            <w:shd w:val="clear" w:color="auto" w:fill="auto"/>
          </w:tcPr>
          <w:p w14:paraId="0BB3FBB1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12CB7811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6ED6A8D9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3C188970" w14:textId="77777777" w:rsidR="00500F2E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Kinderen spelen op de weg waar ook bouwverkeer rijdt</w:t>
            </w:r>
          </w:p>
          <w:p w14:paraId="145D6A3A" w14:textId="77777777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Geen veilige langzaam verkeerroutes van huis naar school</w:t>
            </w:r>
          </w:p>
        </w:tc>
        <w:tc>
          <w:tcPr>
            <w:tcW w:w="1398" w:type="dxa"/>
          </w:tcPr>
          <w:p w14:paraId="5EC0F30F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217" w:type="dxa"/>
          </w:tcPr>
          <w:p w14:paraId="2B3964EF" w14:textId="2D24FF20" w:rsidR="00500F2E" w:rsidRPr="00A75707" w:rsidRDefault="00257C8C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Veiligheidscampagne, g</w:t>
            </w:r>
            <w:r w:rsidR="00500F2E">
              <w:rPr>
                <w:rFonts w:eastAsia="Circular Book" w:cs="Circular Book"/>
                <w:sz w:val="16"/>
                <w:szCs w:val="16"/>
              </w:rPr>
              <w:t>een bouwverkeer langs scholen, afgeschermd speelgebied</w:t>
            </w:r>
            <w:r>
              <w:rPr>
                <w:rFonts w:eastAsia="Circular Book" w:cs="Circular Book"/>
                <w:sz w:val="16"/>
                <w:szCs w:val="16"/>
              </w:rPr>
              <w:t xml:space="preserve">, zorgen </w:t>
            </w:r>
            <w:r>
              <w:rPr>
                <w:rFonts w:eastAsia="Circular Book" w:cs="Circular Book"/>
                <w:sz w:val="16"/>
                <w:szCs w:val="16"/>
              </w:rPr>
              <w:lastRenderedPageBreak/>
              <w:t xml:space="preserve">voor veilige langzaam verkeersroutes, communicatie richting de kinderen, bijv. d.m.v. een </w:t>
            </w:r>
            <w:proofErr w:type="spellStart"/>
            <w:r>
              <w:rPr>
                <w:rFonts w:eastAsia="Circular Book" w:cs="Circular Book"/>
                <w:sz w:val="16"/>
                <w:szCs w:val="16"/>
              </w:rPr>
              <w:t>veiligheidsles</w:t>
            </w:r>
            <w:proofErr w:type="spellEnd"/>
            <w:r>
              <w:rPr>
                <w:rFonts w:eastAsia="Circular Book" w:cs="Circular Book"/>
                <w:sz w:val="16"/>
                <w:szCs w:val="16"/>
              </w:rPr>
              <w:t xml:space="preserve"> voor kinderen van VVN</w:t>
            </w:r>
          </w:p>
        </w:tc>
      </w:tr>
      <w:tr w:rsidR="002F4DA3" w:rsidRPr="00A75707" w14:paraId="391DD9FE" w14:textId="77777777" w:rsidTr="005B1163">
        <w:tc>
          <w:tcPr>
            <w:tcW w:w="556" w:type="dxa"/>
            <w:gridSpan w:val="8"/>
          </w:tcPr>
          <w:p w14:paraId="203B6E33" w14:textId="77777777" w:rsidR="002F4DA3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lastRenderedPageBreak/>
              <w:t>Hinderbeleving</w:t>
            </w:r>
          </w:p>
          <w:p w14:paraId="22FF599E" w14:textId="77777777" w:rsidR="002F4DA3" w:rsidRPr="00A75707" w:rsidRDefault="002F4DA3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</w:tr>
      <w:tr w:rsidR="00500F2E" w:rsidRPr="00A75707" w14:paraId="106D7407" w14:textId="77777777" w:rsidTr="005B1163">
        <w:tc>
          <w:tcPr>
            <w:tcW w:w="402" w:type="dxa"/>
          </w:tcPr>
          <w:p w14:paraId="4940A5B6" w14:textId="50A7A1E3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6</w:t>
            </w:r>
          </w:p>
        </w:tc>
        <w:tc>
          <w:tcPr>
            <w:tcW w:w="1598" w:type="dxa"/>
          </w:tcPr>
          <w:p w14:paraId="5022190C" w14:textId="50D253A6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Definitieve openbare ruimte wordt later gerealiseerd dan verwacht</w:t>
            </w:r>
          </w:p>
        </w:tc>
        <w:tc>
          <w:tcPr>
            <w:tcW w:w="556" w:type="dxa"/>
            <w:shd w:val="clear" w:color="auto" w:fill="auto"/>
          </w:tcPr>
          <w:p w14:paraId="4727CAB5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14:paraId="5C986A6D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14:paraId="5803CDB7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24F7D0DB" w14:textId="3C2BCA56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4171C5">
              <w:rPr>
                <w:rFonts w:asciiTheme="minorHAnsi" w:hAnsiTheme="minorHAnsi"/>
                <w:sz w:val="16"/>
                <w:szCs w:val="16"/>
              </w:rPr>
              <w:t xml:space="preserve">Ruimte </w:t>
            </w:r>
            <w:r>
              <w:rPr>
                <w:rFonts w:asciiTheme="minorHAnsi" w:hAnsiTheme="minorHAnsi"/>
                <w:sz w:val="16"/>
                <w:szCs w:val="16"/>
              </w:rPr>
              <w:t>is</w:t>
            </w:r>
            <w:r w:rsidRPr="004171C5">
              <w:rPr>
                <w:rFonts w:asciiTheme="minorHAnsi" w:hAnsiTheme="minorHAnsi"/>
                <w:sz w:val="16"/>
                <w:szCs w:val="16"/>
              </w:rPr>
              <w:t xml:space="preserve"> nog nodig voor de bouw van de kavels</w:t>
            </w:r>
          </w:p>
          <w:p w14:paraId="52142033" w14:textId="77777777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4171C5">
              <w:rPr>
                <w:rFonts w:asciiTheme="minorHAnsi" w:hAnsiTheme="minorHAnsi"/>
                <w:sz w:val="16"/>
                <w:szCs w:val="16"/>
              </w:rPr>
              <w:t>Meer of langer geclaimde bouwroute door ontwikkelaars</w:t>
            </w:r>
          </w:p>
          <w:p w14:paraId="692418AB" w14:textId="592A8B7D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16"/>
                <w:szCs w:val="16"/>
              </w:rPr>
            </w:pPr>
            <w:r w:rsidRPr="004171C5">
              <w:rPr>
                <w:rFonts w:asciiTheme="minorHAnsi" w:hAnsiTheme="minorHAnsi"/>
                <w:sz w:val="16"/>
                <w:szCs w:val="16"/>
              </w:rPr>
              <w:t>Uitvoering is technisch complex door de vele raakvlakken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en duurt daardoor langer</w:t>
            </w:r>
          </w:p>
        </w:tc>
        <w:tc>
          <w:tcPr>
            <w:tcW w:w="1398" w:type="dxa"/>
          </w:tcPr>
          <w:p w14:paraId="28D357A7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217" w:type="dxa"/>
          </w:tcPr>
          <w:p w14:paraId="4ED65AFD" w14:textId="246D8EF7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 xml:space="preserve">Communicatie aan de hand van een </w:t>
            </w:r>
            <w:proofErr w:type="spellStart"/>
            <w:r>
              <w:rPr>
                <w:rFonts w:eastAsia="Circular Book" w:cs="Circular Book"/>
                <w:sz w:val="16"/>
                <w:szCs w:val="16"/>
              </w:rPr>
              <w:t>risicogestuurde</w:t>
            </w:r>
            <w:proofErr w:type="spellEnd"/>
            <w:r>
              <w:rPr>
                <w:rFonts w:eastAsia="Circular Book" w:cs="Circular Book"/>
                <w:sz w:val="16"/>
                <w:szCs w:val="16"/>
              </w:rPr>
              <w:t xml:space="preserve"> planning, waarbij het oplevermoment steeds specifieker wordt naarmate risico’s beheerst zijn</w:t>
            </w:r>
          </w:p>
        </w:tc>
      </w:tr>
      <w:tr w:rsidR="00500F2E" w:rsidRPr="00A75707" w14:paraId="2F4609CE" w14:textId="77777777" w:rsidTr="005B1163">
        <w:tc>
          <w:tcPr>
            <w:tcW w:w="402" w:type="dxa"/>
          </w:tcPr>
          <w:p w14:paraId="5208FB65" w14:textId="27BDEC48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7</w:t>
            </w:r>
          </w:p>
        </w:tc>
        <w:tc>
          <w:tcPr>
            <w:tcW w:w="1598" w:type="dxa"/>
          </w:tcPr>
          <w:p w14:paraId="3DA13D24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Bewoners, scholen, bedrijven worden verrast door de werkzaamheden</w:t>
            </w:r>
          </w:p>
        </w:tc>
        <w:tc>
          <w:tcPr>
            <w:tcW w:w="556" w:type="dxa"/>
          </w:tcPr>
          <w:p w14:paraId="6DB353AF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139E56F7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556" w:type="dxa"/>
          </w:tcPr>
          <w:p w14:paraId="5BD88CEC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706" w:type="dxa"/>
          </w:tcPr>
          <w:p w14:paraId="1DA32CD4" w14:textId="77777777" w:rsidR="00500F2E" w:rsidRPr="004171C5" w:rsidRDefault="00500F2E" w:rsidP="005B116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Onvoldoende of onjuiste communicatie over de werkzaamheden en de mogelijke impact</w:t>
            </w:r>
          </w:p>
        </w:tc>
        <w:tc>
          <w:tcPr>
            <w:tcW w:w="1398" w:type="dxa"/>
          </w:tcPr>
          <w:p w14:paraId="17FB747E" w14:textId="77777777" w:rsidR="00500F2E" w:rsidRPr="00A75707" w:rsidRDefault="00500F2E" w:rsidP="005B1163">
            <w:pPr>
              <w:rPr>
                <w:rFonts w:eastAsia="Circular Book" w:cs="Circular Book"/>
                <w:sz w:val="16"/>
                <w:szCs w:val="16"/>
              </w:rPr>
            </w:pPr>
          </w:p>
        </w:tc>
        <w:tc>
          <w:tcPr>
            <w:tcW w:w="1217" w:type="dxa"/>
          </w:tcPr>
          <w:p w14:paraId="24B0D773" w14:textId="24388A0D" w:rsidR="00500F2E" w:rsidRPr="00A75707" w:rsidRDefault="005B1163" w:rsidP="005B1163">
            <w:pPr>
              <w:rPr>
                <w:rFonts w:eastAsia="Circular Book" w:cs="Circular Book"/>
                <w:sz w:val="16"/>
                <w:szCs w:val="16"/>
              </w:rPr>
            </w:pPr>
            <w:r>
              <w:rPr>
                <w:rFonts w:eastAsia="Circular Book" w:cs="Circular Book"/>
                <w:sz w:val="16"/>
                <w:szCs w:val="16"/>
              </w:rPr>
              <w:t>Tijdige communicatie, naar de juiste doelgroepen</w:t>
            </w:r>
          </w:p>
        </w:tc>
      </w:tr>
    </w:tbl>
    <w:p w14:paraId="16D903B1" w14:textId="5A47A94E" w:rsidR="00134672" w:rsidRPr="005B1163" w:rsidRDefault="00134672" w:rsidP="002F4DA3">
      <w:pPr>
        <w:rPr>
          <w:rFonts w:ascii="Circular Book" w:eastAsia="Circular Book" w:hAnsi="Circular Book" w:cs="Circular Book"/>
          <w:sz w:val="20"/>
          <w:szCs w:val="20"/>
        </w:rPr>
      </w:pPr>
    </w:p>
    <w:p w14:paraId="1E6F53C7" w14:textId="77777777" w:rsidR="00500F2E" w:rsidRDefault="00500F2E"/>
    <w:sectPr w:rsidR="00500F2E" w:rsidSect="00337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rcular Book">
    <w:altName w:val="Athelas Italic"/>
    <w:charset w:val="4D"/>
    <w:family w:val="auto"/>
    <w:pitch w:val="variable"/>
    <w:sig w:usb0="800000AF" w:usb1="5000E47B" w:usb2="0000002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A72"/>
    <w:multiLevelType w:val="hybridMultilevel"/>
    <w:tmpl w:val="05B2B9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41A0B"/>
    <w:multiLevelType w:val="hybridMultilevel"/>
    <w:tmpl w:val="82A8FB8C"/>
    <w:lvl w:ilvl="0" w:tplc="DC9E4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68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0A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61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21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C4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0B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E6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AF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EB13A9"/>
    <w:multiLevelType w:val="hybridMultilevel"/>
    <w:tmpl w:val="BE403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CE6D3F"/>
    <w:multiLevelType w:val="hybridMultilevel"/>
    <w:tmpl w:val="3DFC53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637FE"/>
    <w:rsid w:val="000B1AE3"/>
    <w:rsid w:val="001048C7"/>
    <w:rsid w:val="00134672"/>
    <w:rsid w:val="00157394"/>
    <w:rsid w:val="00213883"/>
    <w:rsid w:val="00225E30"/>
    <w:rsid w:val="00257C8C"/>
    <w:rsid w:val="002C6667"/>
    <w:rsid w:val="002F4DA3"/>
    <w:rsid w:val="00337DD0"/>
    <w:rsid w:val="0034590F"/>
    <w:rsid w:val="00500F2E"/>
    <w:rsid w:val="005B1163"/>
    <w:rsid w:val="006B79AF"/>
    <w:rsid w:val="007D3D34"/>
    <w:rsid w:val="00A426D6"/>
    <w:rsid w:val="00AA77BD"/>
    <w:rsid w:val="00BC59E2"/>
    <w:rsid w:val="00C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A2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F4D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uiPriority w:val="34"/>
    <w:qFormat/>
    <w:rsid w:val="002F4DA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nl-NL"/>
    </w:rPr>
  </w:style>
  <w:style w:type="table" w:styleId="Tabelraster">
    <w:name w:val="Table Grid"/>
    <w:basedOn w:val="Standaardtabel"/>
    <w:uiPriority w:val="39"/>
    <w:rsid w:val="002F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Lopende tekst"/>
    <w:autoRedefine/>
    <w:uiPriority w:val="1"/>
    <w:qFormat/>
    <w:rsid w:val="002F4DA3"/>
    <w:rPr>
      <w:rFonts w:ascii="Avenir Roman" w:hAnsi="Avenir Roman" w:cs="Arial Unicode MS"/>
      <w:color w:val="000000"/>
      <w:sz w:val="20"/>
      <w:szCs w:val="20"/>
      <w:u w:color="000000"/>
    </w:rPr>
  </w:style>
  <w:style w:type="paragraph" w:styleId="Normaalweb">
    <w:name w:val="Normal (Web)"/>
    <w:basedOn w:val="Normaal"/>
    <w:uiPriority w:val="99"/>
    <w:semiHidden/>
    <w:unhideWhenUsed/>
    <w:rsid w:val="002F4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666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C6667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C6667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C666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C666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C666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66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F4D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uiPriority w:val="34"/>
    <w:qFormat/>
    <w:rsid w:val="002F4DA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nl-NL"/>
    </w:rPr>
  </w:style>
  <w:style w:type="table" w:styleId="Tabelraster">
    <w:name w:val="Table Grid"/>
    <w:basedOn w:val="Standaardtabel"/>
    <w:uiPriority w:val="39"/>
    <w:rsid w:val="002F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Lopende tekst"/>
    <w:autoRedefine/>
    <w:uiPriority w:val="1"/>
    <w:qFormat/>
    <w:rsid w:val="002F4DA3"/>
    <w:rPr>
      <w:rFonts w:ascii="Avenir Roman" w:hAnsi="Avenir Roman" w:cs="Arial Unicode MS"/>
      <w:color w:val="000000"/>
      <w:sz w:val="20"/>
      <w:szCs w:val="20"/>
      <w:u w:color="000000"/>
    </w:rPr>
  </w:style>
  <w:style w:type="paragraph" w:styleId="Normaalweb">
    <w:name w:val="Normal (Web)"/>
    <w:basedOn w:val="Normaal"/>
    <w:uiPriority w:val="99"/>
    <w:semiHidden/>
    <w:unhideWhenUsed/>
    <w:rsid w:val="002F4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6667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C6667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C6667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C6667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C666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C666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6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743">
          <w:marLeft w:val="59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63">
          <w:marLeft w:val="59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Gasseling</dc:creator>
  <cp:keywords/>
  <dc:description/>
  <cp:lastModifiedBy>Joanna Wilbers</cp:lastModifiedBy>
  <cp:revision>3</cp:revision>
  <dcterms:created xsi:type="dcterms:W3CDTF">2019-07-03T21:04:00Z</dcterms:created>
  <dcterms:modified xsi:type="dcterms:W3CDTF">2019-07-03T21:12:00Z</dcterms:modified>
</cp:coreProperties>
</file>